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33" w:rsidRPr="009A078A" w:rsidRDefault="009A078A" w:rsidP="009A0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78A">
        <w:rPr>
          <w:rFonts w:ascii="Times New Roman" w:hAnsi="Times New Roman" w:cs="Times New Roman"/>
          <w:sz w:val="24"/>
          <w:szCs w:val="24"/>
        </w:rPr>
        <w:t>Важная информация для лицензиатов и соискателей!</w:t>
      </w:r>
    </w:p>
    <w:p w:rsidR="009A078A" w:rsidRDefault="009A078A" w:rsidP="009A0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78A" w:rsidRPr="009A078A" w:rsidRDefault="009A078A" w:rsidP="009A0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здравоохранения Республики Дагестан сообщает, что прием документов на лицензирование фармацевтической деятельности осуществляется также через МФЦ.</w:t>
      </w:r>
    </w:p>
    <w:sectPr w:rsidR="009A078A" w:rsidRPr="009A078A" w:rsidSect="008B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078A"/>
    <w:rsid w:val="008B7F33"/>
    <w:rsid w:val="009A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2020-09-18T16:06:00Z</dcterms:created>
  <dcterms:modified xsi:type="dcterms:W3CDTF">2020-09-18T16:08:00Z</dcterms:modified>
</cp:coreProperties>
</file>